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42" w:rsidRDefault="00435542" w:rsidP="00435542">
      <w:pPr>
        <w:ind w:right="-285"/>
        <w:jc w:val="center"/>
        <w:rPr>
          <w:rFonts w:ascii="Microsoft Tai Le" w:hAnsi="Microsoft Tai Le" w:cs="Microsoft Tai Le"/>
          <w:b/>
          <w:sz w:val="28"/>
        </w:rPr>
      </w:pPr>
    </w:p>
    <w:p w:rsidR="00435542" w:rsidRDefault="00435542" w:rsidP="00435542">
      <w:pPr>
        <w:ind w:right="-285"/>
        <w:jc w:val="center"/>
        <w:rPr>
          <w:rFonts w:ascii="Microsoft Tai Le" w:hAnsi="Microsoft Tai Le" w:cs="Microsoft Tai Le"/>
          <w:b/>
          <w:sz w:val="28"/>
        </w:rPr>
      </w:pPr>
    </w:p>
    <w:p w:rsidR="00435542" w:rsidRPr="001004CF" w:rsidRDefault="00435542" w:rsidP="00435542">
      <w:pPr>
        <w:ind w:right="-285"/>
        <w:jc w:val="center"/>
        <w:rPr>
          <w:rFonts w:ascii="Microsoft Tai Le" w:hAnsi="Microsoft Tai Le" w:cs="Microsoft Tai Le"/>
          <w:b/>
          <w:sz w:val="28"/>
        </w:rPr>
      </w:pPr>
      <w:r w:rsidRPr="001004CF">
        <w:rPr>
          <w:rFonts w:ascii="Microsoft Tai Le" w:hAnsi="Microsoft Tai Le" w:cs="Microsoft Tai Le"/>
          <w:b/>
          <w:sz w:val="28"/>
        </w:rPr>
        <w:t xml:space="preserve">EDITAL DE CONVOCAÇÃO PARA ACORDO N° </w:t>
      </w:r>
      <w:r>
        <w:rPr>
          <w:rFonts w:ascii="Microsoft Tai Le" w:hAnsi="Microsoft Tai Le" w:cs="Microsoft Tai Le"/>
          <w:b/>
          <w:sz w:val="28"/>
        </w:rPr>
        <w:t>2</w:t>
      </w:r>
      <w:r w:rsidRPr="001004CF">
        <w:rPr>
          <w:rFonts w:ascii="Microsoft Tai Le" w:hAnsi="Microsoft Tai Le" w:cs="Microsoft Tai Le"/>
          <w:b/>
          <w:sz w:val="28"/>
        </w:rPr>
        <w:t>/2019</w:t>
      </w:r>
    </w:p>
    <w:p w:rsidR="00435542" w:rsidRPr="001004CF" w:rsidRDefault="00435542" w:rsidP="00435542">
      <w:pPr>
        <w:jc w:val="center"/>
        <w:rPr>
          <w:rFonts w:ascii="Microsoft Tai Le" w:hAnsi="Microsoft Tai Le" w:cs="Microsoft Tai Le"/>
          <w:sz w:val="28"/>
        </w:rPr>
      </w:pPr>
      <w:r w:rsidRPr="001004CF">
        <w:rPr>
          <w:rFonts w:ascii="Microsoft Tai Le" w:hAnsi="Microsoft Tai Le" w:cs="Microsoft Tai Le"/>
          <w:sz w:val="28"/>
        </w:rPr>
        <w:t>APRESENTAÇÃO DE PROSPOSTAS DE ACORDO DIRETO COM TITULARES DE CRÉDITOS DE PRECATÓRIOS</w:t>
      </w:r>
    </w:p>
    <w:p w:rsidR="00435542" w:rsidRPr="001004CF" w:rsidRDefault="00435542" w:rsidP="00435542">
      <w:pPr>
        <w:jc w:val="both"/>
        <w:rPr>
          <w:rFonts w:ascii="Microsoft Tai Le" w:hAnsi="Microsoft Tai Le" w:cs="Microsoft Tai Le"/>
          <w:sz w:val="28"/>
        </w:rPr>
      </w:pPr>
    </w:p>
    <w:p w:rsidR="00435542" w:rsidRPr="001004CF" w:rsidRDefault="00435542" w:rsidP="00435542">
      <w:pPr>
        <w:jc w:val="both"/>
        <w:rPr>
          <w:rFonts w:ascii="Microsoft Tai Le" w:hAnsi="Microsoft Tai Le" w:cs="Microsoft Tai Le"/>
          <w:sz w:val="24"/>
        </w:rPr>
      </w:pPr>
      <w:r w:rsidRPr="001004CF">
        <w:rPr>
          <w:rFonts w:ascii="Microsoft Tai Le" w:hAnsi="Microsoft Tai Le" w:cs="Microsoft Tai Le"/>
          <w:sz w:val="24"/>
        </w:rPr>
        <w:t>A Câmara de Conciliação de Precatórios publica o Edital de Convocação para o acordo 0</w:t>
      </w:r>
      <w:r>
        <w:rPr>
          <w:rFonts w:ascii="Microsoft Tai Le" w:hAnsi="Microsoft Tai Le" w:cs="Microsoft Tai Le"/>
          <w:sz w:val="24"/>
        </w:rPr>
        <w:t>2</w:t>
      </w:r>
      <w:r w:rsidRPr="001004CF">
        <w:rPr>
          <w:rFonts w:ascii="Microsoft Tai Le" w:hAnsi="Microsoft Tai Le" w:cs="Microsoft Tai Le"/>
          <w:sz w:val="24"/>
        </w:rPr>
        <w:t>/2019, conforme segue:</w:t>
      </w:r>
    </w:p>
    <w:p w:rsidR="00435542" w:rsidRPr="001004CF" w:rsidRDefault="00435542" w:rsidP="00435542">
      <w:pPr>
        <w:jc w:val="both"/>
        <w:rPr>
          <w:rFonts w:ascii="Microsoft Tai Le" w:hAnsi="Microsoft Tai Le" w:cs="Microsoft Tai Le"/>
          <w:b/>
          <w:sz w:val="24"/>
        </w:rPr>
      </w:pPr>
      <w:r w:rsidRPr="001004CF">
        <w:rPr>
          <w:rFonts w:ascii="Microsoft Tai Le" w:hAnsi="Microsoft Tai Le" w:cs="Microsoft Tai Le"/>
          <w:b/>
          <w:sz w:val="24"/>
        </w:rPr>
        <w:t>OBJETO:</w:t>
      </w:r>
    </w:p>
    <w:p w:rsidR="00435542" w:rsidRPr="001004CF" w:rsidRDefault="00435542" w:rsidP="00435542">
      <w:pPr>
        <w:jc w:val="both"/>
        <w:rPr>
          <w:rFonts w:ascii="Microsoft Tai Le" w:hAnsi="Microsoft Tai Le" w:cs="Microsoft Tai Le"/>
          <w:sz w:val="24"/>
        </w:rPr>
      </w:pPr>
      <w:r w:rsidRPr="001004CF">
        <w:rPr>
          <w:rFonts w:ascii="Microsoft Tai Le" w:hAnsi="Microsoft Tai Le" w:cs="Microsoft Tai Le"/>
          <w:sz w:val="24"/>
        </w:rPr>
        <w:t xml:space="preserve">Convocação para apresentação de propostas de acordo direito com titulares de créditos de precatórios, nos termos do julgamento da Ação Direta de Inconstitucionalidade n° 4357 pelo Supremo Tribunal Federal e da Lei 4.118/2018 e do Decreto 3.654/2018, </w:t>
      </w:r>
      <w:r w:rsidRPr="001004CF">
        <w:rPr>
          <w:rFonts w:ascii="Microsoft Tai Le" w:hAnsi="Microsoft Tai Le" w:cs="Microsoft Tai Le"/>
          <w:b/>
          <w:sz w:val="24"/>
        </w:rPr>
        <w:t>CONVOCA</w:t>
      </w:r>
      <w:r w:rsidRPr="001004CF">
        <w:rPr>
          <w:rFonts w:ascii="Microsoft Tai Le" w:hAnsi="Microsoft Tai Le" w:cs="Microsoft Tai Le"/>
          <w:sz w:val="24"/>
        </w:rPr>
        <w:t xml:space="preserve"> os seguintes titulares de precatórios do Município de Taquari:</w:t>
      </w:r>
    </w:p>
    <w:p w:rsidR="00435542" w:rsidRPr="001004CF" w:rsidRDefault="00435542" w:rsidP="00435542">
      <w:pPr>
        <w:jc w:val="both"/>
        <w:rPr>
          <w:rFonts w:ascii="Microsoft Tai Le" w:hAnsi="Microsoft Tai Le" w:cs="Microsoft Tai Le"/>
          <w:sz w:val="24"/>
        </w:rPr>
      </w:pPr>
      <w:r w:rsidRPr="001004CF">
        <w:rPr>
          <w:rFonts w:ascii="Microsoft Tai Le" w:hAnsi="Microsoft Tai Le" w:cs="Microsoft Tai Le"/>
          <w:sz w:val="24"/>
        </w:rPr>
        <w:t xml:space="preserve">Precatório </w:t>
      </w:r>
      <w:r>
        <w:rPr>
          <w:rFonts w:ascii="Microsoft Tai Le" w:hAnsi="Microsoft Tai Le" w:cs="Microsoft Tai Le"/>
          <w:sz w:val="24"/>
        </w:rPr>
        <w:t>66331</w:t>
      </w:r>
      <w:r w:rsidRPr="001004CF">
        <w:rPr>
          <w:rFonts w:ascii="Microsoft Tai Le" w:hAnsi="Microsoft Tai Le" w:cs="Microsoft Tai Le"/>
          <w:sz w:val="24"/>
        </w:rPr>
        <w:t xml:space="preserve"> – </w:t>
      </w:r>
      <w:r>
        <w:rPr>
          <w:rFonts w:ascii="Microsoft Tai Le" w:hAnsi="Microsoft Tai Le" w:cs="Microsoft Tai Le"/>
          <w:sz w:val="24"/>
        </w:rPr>
        <w:t>Topografia Bolina Ltda</w:t>
      </w:r>
      <w:r w:rsidRPr="001004CF">
        <w:rPr>
          <w:rFonts w:ascii="Microsoft Tai Le" w:hAnsi="Microsoft Tai Le" w:cs="Microsoft Tai Le"/>
          <w:sz w:val="24"/>
        </w:rPr>
        <w:t>;</w:t>
      </w:r>
    </w:p>
    <w:p w:rsidR="00435542" w:rsidRPr="001004CF" w:rsidRDefault="00435542" w:rsidP="00435542">
      <w:pPr>
        <w:jc w:val="both"/>
        <w:rPr>
          <w:rFonts w:ascii="Microsoft Tai Le" w:hAnsi="Microsoft Tai Le" w:cs="Microsoft Tai Le"/>
          <w:b/>
          <w:sz w:val="24"/>
        </w:rPr>
      </w:pPr>
      <w:r w:rsidRPr="001004CF">
        <w:rPr>
          <w:rFonts w:ascii="Microsoft Tai Le" w:hAnsi="Microsoft Tai Le" w:cs="Microsoft Tai Le"/>
          <w:b/>
          <w:sz w:val="24"/>
        </w:rPr>
        <w:t>1-</w:t>
      </w:r>
      <w:r>
        <w:rPr>
          <w:rFonts w:ascii="Microsoft Tai Le" w:hAnsi="Microsoft Tai Le" w:cs="Microsoft Tai Le"/>
          <w:b/>
          <w:sz w:val="24"/>
        </w:rPr>
        <w:t xml:space="preserve"> </w:t>
      </w:r>
      <w:r w:rsidRPr="001004CF">
        <w:rPr>
          <w:rFonts w:ascii="Microsoft Tai Le" w:hAnsi="Microsoft Tai Le" w:cs="Microsoft Tai Le"/>
          <w:b/>
          <w:sz w:val="24"/>
        </w:rPr>
        <w:t>DO DESÁGIO APLICADO E DOS CRITÉRIOS DE PAGAMENTO</w:t>
      </w:r>
    </w:p>
    <w:p w:rsidR="00435542" w:rsidRPr="001004CF" w:rsidRDefault="00435542" w:rsidP="00435542">
      <w:pPr>
        <w:jc w:val="both"/>
        <w:rPr>
          <w:rFonts w:ascii="Microsoft Tai Le" w:hAnsi="Microsoft Tai Le" w:cs="Microsoft Tai Le"/>
          <w:sz w:val="24"/>
        </w:rPr>
      </w:pPr>
      <w:r w:rsidRPr="001004CF">
        <w:rPr>
          <w:rFonts w:ascii="Microsoft Tai Le" w:hAnsi="Microsoft Tai Le" w:cs="Microsoft Tai Le"/>
          <w:b/>
          <w:sz w:val="24"/>
        </w:rPr>
        <w:t>1.1 -</w:t>
      </w:r>
      <w:r w:rsidRPr="001004CF">
        <w:rPr>
          <w:rFonts w:ascii="Microsoft Tai Le" w:hAnsi="Microsoft Tai Le" w:cs="Microsoft Tai Le"/>
          <w:sz w:val="24"/>
        </w:rPr>
        <w:t xml:space="preserve"> Poderão celebrar o acordo direto os titulares originais dos precatórios, seus sucessores “causa mortis” ou cessionários, mediante deságio de:</w:t>
      </w:r>
    </w:p>
    <w:p w:rsidR="00435542" w:rsidRPr="001004CF" w:rsidRDefault="00435542" w:rsidP="00435542">
      <w:pPr>
        <w:jc w:val="both"/>
        <w:rPr>
          <w:rFonts w:ascii="Microsoft Tai Le" w:hAnsi="Microsoft Tai Le" w:cs="Microsoft Tai Le"/>
          <w:sz w:val="24"/>
        </w:rPr>
      </w:pPr>
      <w:r w:rsidRPr="001004CF">
        <w:rPr>
          <w:rFonts w:ascii="Microsoft Tai Le" w:hAnsi="Microsoft Tai Le" w:cs="Microsoft Tai Le"/>
          <w:b/>
          <w:sz w:val="24"/>
        </w:rPr>
        <w:t>I -</w:t>
      </w:r>
      <w:r w:rsidRPr="001004CF">
        <w:rPr>
          <w:rFonts w:ascii="Microsoft Tai Le" w:hAnsi="Microsoft Tai Le" w:cs="Microsoft Tai Le"/>
          <w:sz w:val="24"/>
        </w:rPr>
        <w:t xml:space="preserve"> 40% (quarenta por cento), para os créditos de precatórios inscritos na ordem cronológica de pagamento do ano de 2009.</w:t>
      </w:r>
    </w:p>
    <w:p w:rsidR="00435542" w:rsidRPr="001004CF" w:rsidRDefault="00435542" w:rsidP="00435542">
      <w:pPr>
        <w:jc w:val="both"/>
        <w:rPr>
          <w:rFonts w:ascii="Microsoft Tai Le" w:hAnsi="Microsoft Tai Le" w:cs="Microsoft Tai Le"/>
          <w:sz w:val="24"/>
        </w:rPr>
      </w:pPr>
      <w:r w:rsidRPr="001004CF">
        <w:rPr>
          <w:rFonts w:ascii="Microsoft Tai Le" w:hAnsi="Microsoft Tai Le" w:cs="Microsoft Tai Le"/>
          <w:b/>
          <w:sz w:val="24"/>
        </w:rPr>
        <w:t>1.2 -</w:t>
      </w:r>
      <w:r w:rsidRPr="001004CF">
        <w:rPr>
          <w:rFonts w:ascii="Microsoft Tai Le" w:hAnsi="Microsoft Tai Le" w:cs="Microsoft Tai Le"/>
          <w:sz w:val="24"/>
        </w:rPr>
        <w:t xml:space="preserve"> O deságio será aplicado sobre o valor atualizado do crédito cujo calculo seja definitivo, desde que não haja discussão do crédito em sede de ação rescisória ou recursos pendentes do Município de Taquari, ou crédito sujeito a retificação.</w:t>
      </w:r>
    </w:p>
    <w:p w:rsidR="00435542" w:rsidRPr="001004CF" w:rsidRDefault="00435542" w:rsidP="00435542">
      <w:pPr>
        <w:jc w:val="both"/>
        <w:rPr>
          <w:rFonts w:ascii="Microsoft Tai Le" w:hAnsi="Microsoft Tai Le" w:cs="Microsoft Tai Le"/>
          <w:sz w:val="24"/>
        </w:rPr>
      </w:pPr>
      <w:r w:rsidRPr="001004CF">
        <w:rPr>
          <w:rFonts w:ascii="Microsoft Tai Le" w:hAnsi="Microsoft Tai Le" w:cs="Microsoft Tai Le"/>
          <w:b/>
          <w:sz w:val="24"/>
        </w:rPr>
        <w:t>1.3</w:t>
      </w:r>
      <w:r>
        <w:rPr>
          <w:rFonts w:ascii="Microsoft Tai Le" w:hAnsi="Microsoft Tai Le" w:cs="Microsoft Tai Le"/>
          <w:b/>
          <w:sz w:val="24"/>
        </w:rPr>
        <w:t xml:space="preserve"> </w:t>
      </w:r>
      <w:r w:rsidRPr="001004CF">
        <w:rPr>
          <w:rFonts w:ascii="Microsoft Tai Le" w:hAnsi="Microsoft Tai Le" w:cs="Microsoft Tai Le"/>
          <w:b/>
          <w:sz w:val="24"/>
        </w:rPr>
        <w:t>-</w:t>
      </w:r>
      <w:r w:rsidRPr="001004CF">
        <w:rPr>
          <w:rFonts w:ascii="Microsoft Tai Le" w:hAnsi="Microsoft Tai Le" w:cs="Microsoft Tai Le"/>
          <w:sz w:val="24"/>
        </w:rPr>
        <w:t xml:space="preserve"> Deverão os interessados ter plena ciência e aceitação de legislação acima citada, que norteará e será observada em todo procedimento.</w:t>
      </w:r>
    </w:p>
    <w:p w:rsidR="00435542" w:rsidRDefault="00435542" w:rsidP="00435542">
      <w:pPr>
        <w:jc w:val="both"/>
        <w:rPr>
          <w:rFonts w:ascii="Microsoft Tai Le" w:hAnsi="Microsoft Tai Le" w:cs="Microsoft Tai Le"/>
          <w:b/>
          <w:sz w:val="24"/>
        </w:rPr>
      </w:pPr>
    </w:p>
    <w:p w:rsidR="00435542" w:rsidRDefault="00435542" w:rsidP="00435542">
      <w:pPr>
        <w:jc w:val="both"/>
        <w:rPr>
          <w:rFonts w:ascii="Microsoft Tai Le" w:hAnsi="Microsoft Tai Le" w:cs="Microsoft Tai Le"/>
          <w:b/>
          <w:sz w:val="24"/>
        </w:rPr>
      </w:pPr>
    </w:p>
    <w:p w:rsidR="00435542" w:rsidRPr="001004CF" w:rsidRDefault="00435542" w:rsidP="00435542">
      <w:pPr>
        <w:jc w:val="both"/>
        <w:rPr>
          <w:rFonts w:ascii="Microsoft Tai Le" w:hAnsi="Microsoft Tai Le" w:cs="Microsoft Tai Le"/>
          <w:b/>
          <w:sz w:val="24"/>
        </w:rPr>
      </w:pPr>
      <w:r>
        <w:rPr>
          <w:rFonts w:ascii="Microsoft Tai Le" w:hAnsi="Microsoft Tai Le" w:cs="Microsoft Tai Le"/>
          <w:b/>
          <w:sz w:val="24"/>
        </w:rPr>
        <w:t xml:space="preserve">2 - </w:t>
      </w:r>
      <w:r w:rsidRPr="001004CF">
        <w:rPr>
          <w:rFonts w:ascii="Microsoft Tai Le" w:hAnsi="Microsoft Tai Le" w:cs="Microsoft Tai Le"/>
          <w:b/>
          <w:sz w:val="24"/>
        </w:rPr>
        <w:t>DO PERIODO DE APRESENTAÇÃO</w:t>
      </w:r>
    </w:p>
    <w:p w:rsidR="00435542" w:rsidRPr="001004CF" w:rsidRDefault="00435542" w:rsidP="00435542">
      <w:pPr>
        <w:jc w:val="both"/>
        <w:rPr>
          <w:rFonts w:ascii="Microsoft Tai Le" w:hAnsi="Microsoft Tai Le" w:cs="Microsoft Tai Le"/>
          <w:sz w:val="24"/>
        </w:rPr>
      </w:pPr>
      <w:r w:rsidRPr="001004CF">
        <w:rPr>
          <w:rFonts w:ascii="Microsoft Tai Le" w:hAnsi="Microsoft Tai Le" w:cs="Microsoft Tai Le"/>
          <w:sz w:val="24"/>
        </w:rPr>
        <w:lastRenderedPageBreak/>
        <w:t>O requerimento para apresentação de proposta será apresentado no Setor de Protocolo do Município, endereçado à Câmara de Conciliação de Precatórios, entre 06 de maio de 2019 a 30 de junho de 2019.</w:t>
      </w:r>
    </w:p>
    <w:p w:rsidR="00435542" w:rsidRPr="001004CF" w:rsidRDefault="00435542" w:rsidP="00435542">
      <w:pPr>
        <w:jc w:val="both"/>
        <w:rPr>
          <w:rFonts w:ascii="Microsoft Tai Le" w:hAnsi="Microsoft Tai Le" w:cs="Microsoft Tai Le"/>
          <w:b/>
          <w:sz w:val="24"/>
        </w:rPr>
      </w:pPr>
      <w:r>
        <w:rPr>
          <w:rFonts w:ascii="Microsoft Tai Le" w:hAnsi="Microsoft Tai Le" w:cs="Microsoft Tai Le"/>
          <w:b/>
          <w:sz w:val="24"/>
        </w:rPr>
        <w:t xml:space="preserve">3 </w:t>
      </w:r>
      <w:r w:rsidRPr="001004CF">
        <w:rPr>
          <w:rFonts w:ascii="Microsoft Tai Le" w:hAnsi="Microsoft Tai Le" w:cs="Microsoft Tai Le"/>
          <w:b/>
          <w:sz w:val="24"/>
        </w:rPr>
        <w:t>- DOS DOCUMENTOS</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3.1</w:t>
      </w:r>
      <w:r w:rsidRPr="00623CF4">
        <w:rPr>
          <w:rFonts w:ascii="Microsoft Tai Le" w:hAnsi="Microsoft Tai Le" w:cs="Microsoft Tai Le"/>
          <w:sz w:val="24"/>
        </w:rPr>
        <w:t xml:space="preserve"> </w:t>
      </w:r>
      <w:r w:rsidRPr="00623CF4">
        <w:rPr>
          <w:rFonts w:ascii="Microsoft Tai Le" w:hAnsi="Microsoft Tai Le" w:cs="Microsoft Tai Le"/>
          <w:b/>
          <w:sz w:val="24"/>
        </w:rPr>
        <w:t>–</w:t>
      </w:r>
      <w:r w:rsidRPr="00623CF4">
        <w:rPr>
          <w:rFonts w:ascii="Microsoft Tai Le" w:hAnsi="Microsoft Tai Le" w:cs="Microsoft Tai Le"/>
          <w:sz w:val="24"/>
        </w:rPr>
        <w:t xml:space="preserve"> As propostas de acordo deverão ser instruídas com os seguintes documentos:</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I –</w:t>
      </w:r>
      <w:r w:rsidRPr="00623CF4">
        <w:rPr>
          <w:rFonts w:ascii="Microsoft Tai Le" w:hAnsi="Microsoft Tai Le" w:cs="Microsoft Tai Le"/>
          <w:sz w:val="24"/>
        </w:rPr>
        <w:t xml:space="preserve"> Procuração, com firma reconhecida</w:t>
      </w:r>
      <w:r>
        <w:rPr>
          <w:rFonts w:ascii="Microsoft Tai Le" w:hAnsi="Microsoft Tai Le" w:cs="Microsoft Tai Le"/>
          <w:sz w:val="24"/>
        </w:rPr>
        <w:t>, que contenha alé</w:t>
      </w:r>
      <w:r w:rsidRPr="00623CF4">
        <w:rPr>
          <w:rFonts w:ascii="Microsoft Tai Le" w:hAnsi="Microsoft Tai Le" w:cs="Microsoft Tai Le"/>
          <w:sz w:val="24"/>
        </w:rPr>
        <w:t>m dos poderes intrínsecos à cláusula ad jurídica, os poderes específicos para transigir e dar quitação, e que mencione o número do processo que deu origem ao precatório e o número do precatório objeto da conciliação.</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II –</w:t>
      </w:r>
      <w:r w:rsidRPr="00623CF4">
        <w:rPr>
          <w:rFonts w:ascii="Microsoft Tai Le" w:hAnsi="Microsoft Tai Le" w:cs="Microsoft Tai Le"/>
          <w:sz w:val="24"/>
        </w:rPr>
        <w:t xml:space="preserve"> Dados bancários para depósito, contendo indicação do banco, agência e conta;</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III –</w:t>
      </w:r>
      <w:r w:rsidRPr="00623CF4">
        <w:rPr>
          <w:rFonts w:ascii="Microsoft Tai Le" w:hAnsi="Microsoft Tai Le" w:cs="Microsoft Tai Le"/>
          <w:sz w:val="24"/>
        </w:rPr>
        <w:t xml:space="preserve"> Correio eletrônico (email) do advogado, para receber, exclusivamente por esta via, intimações;</w:t>
      </w:r>
    </w:p>
    <w:p w:rsidR="00435542" w:rsidRPr="00623CF4" w:rsidRDefault="00435542" w:rsidP="00435542">
      <w:pPr>
        <w:jc w:val="both"/>
        <w:rPr>
          <w:rFonts w:ascii="Microsoft Tai Le" w:hAnsi="Microsoft Tai Le" w:cs="Microsoft Tai Le"/>
          <w:bCs/>
          <w:color w:val="222222"/>
          <w:sz w:val="24"/>
          <w:szCs w:val="24"/>
          <w:shd w:val="clear" w:color="auto" w:fill="FFFFFF"/>
        </w:rPr>
      </w:pPr>
      <w:r w:rsidRPr="00623CF4">
        <w:rPr>
          <w:rFonts w:ascii="Microsoft Tai Le" w:hAnsi="Microsoft Tai Le" w:cs="Microsoft Tai Le"/>
          <w:b/>
          <w:sz w:val="24"/>
        </w:rPr>
        <w:t>IV –</w:t>
      </w:r>
      <w:r w:rsidRPr="00623CF4">
        <w:rPr>
          <w:rFonts w:ascii="Microsoft Tai Le" w:hAnsi="Microsoft Tai Le" w:cs="Microsoft Tai Le"/>
          <w:sz w:val="24"/>
        </w:rPr>
        <w:t xml:space="preserve"> No caso de sucessão causa mortis, os documentos que comprovem o atendimento às exigências contidas no </w:t>
      </w:r>
      <w:r w:rsidRPr="00623CF4">
        <w:rPr>
          <w:rFonts w:ascii="Microsoft Tai Le" w:hAnsi="Microsoft Tai Le" w:cs="Microsoft Tai Le"/>
          <w:bCs/>
          <w:color w:val="222222"/>
          <w:sz w:val="24"/>
          <w:szCs w:val="24"/>
          <w:shd w:val="clear" w:color="auto" w:fill="FFFFFF"/>
        </w:rPr>
        <w:t>§ 1° do art. 3° deste Decreto.</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V –</w:t>
      </w:r>
      <w:r w:rsidRPr="00623CF4">
        <w:rPr>
          <w:rFonts w:ascii="Microsoft Tai Le" w:hAnsi="Microsoft Tai Le" w:cs="Microsoft Tai Le"/>
          <w:sz w:val="24"/>
        </w:rPr>
        <w:t xml:space="preserve"> Cópia do CPF e do RG, no caso de titulares de precatórios alimentares maiores de 60(sessenta) anos.</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VI –</w:t>
      </w:r>
      <w:r w:rsidRPr="00623CF4">
        <w:rPr>
          <w:rFonts w:ascii="Microsoft Tai Le" w:hAnsi="Microsoft Tai Le" w:cs="Microsoft Tai Le"/>
          <w:sz w:val="24"/>
        </w:rPr>
        <w:t xml:space="preserve"> Comprovação de que a condição de portador de doença grave foi reconhecida pelo Tribunal de Justiça.</w:t>
      </w:r>
    </w:p>
    <w:p w:rsidR="00435542" w:rsidRPr="001004CF" w:rsidRDefault="00435542" w:rsidP="00435542">
      <w:pPr>
        <w:pStyle w:val="PargrafodaLista"/>
        <w:jc w:val="both"/>
        <w:rPr>
          <w:rFonts w:ascii="Microsoft Tai Le" w:hAnsi="Microsoft Tai Le" w:cs="Microsoft Tai Le"/>
          <w:sz w:val="24"/>
        </w:rPr>
      </w:pPr>
    </w:p>
    <w:p w:rsidR="00435542" w:rsidRPr="00623CF4" w:rsidRDefault="00435542" w:rsidP="00435542">
      <w:pPr>
        <w:jc w:val="both"/>
        <w:rPr>
          <w:rFonts w:ascii="Microsoft Tai Le" w:hAnsi="Microsoft Tai Le" w:cs="Microsoft Tai Le"/>
          <w:b/>
          <w:sz w:val="24"/>
        </w:rPr>
      </w:pPr>
      <w:r w:rsidRPr="00623CF4">
        <w:rPr>
          <w:rFonts w:ascii="Microsoft Tai Le" w:hAnsi="Microsoft Tai Le" w:cs="Microsoft Tai Le"/>
          <w:b/>
          <w:sz w:val="24"/>
        </w:rPr>
        <w:t>4 – DAS CONDIÇÕES DA PROPOSTA</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4.1 –</w:t>
      </w:r>
      <w:r w:rsidRPr="00623CF4">
        <w:rPr>
          <w:rFonts w:ascii="Microsoft Tai Le" w:hAnsi="Microsoft Tai Le" w:cs="Microsoft Tai Le"/>
          <w:sz w:val="24"/>
        </w:rPr>
        <w:t xml:space="preserve"> Das propostas deverão constar obrigatoriamente:</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I –</w:t>
      </w:r>
      <w:r w:rsidRPr="00623CF4">
        <w:rPr>
          <w:rFonts w:ascii="Microsoft Tai Le" w:hAnsi="Microsoft Tai Le" w:cs="Microsoft Tai Le"/>
          <w:sz w:val="24"/>
        </w:rPr>
        <w:t xml:space="preserve"> se o interessado se enquadra nos requisitos de propriedade ou não;</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II –</w:t>
      </w:r>
      <w:r w:rsidRPr="00623CF4">
        <w:rPr>
          <w:rFonts w:ascii="Microsoft Tai Le" w:hAnsi="Microsoft Tai Le" w:cs="Microsoft Tai Le"/>
          <w:sz w:val="24"/>
        </w:rPr>
        <w:t xml:space="preserve"> se os honorários advocatícios estão incluídos na proposta;</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III –</w:t>
      </w:r>
      <w:r w:rsidRPr="00623CF4">
        <w:rPr>
          <w:rFonts w:ascii="Microsoft Tai Le" w:hAnsi="Microsoft Tai Le" w:cs="Microsoft Tai Le"/>
          <w:sz w:val="24"/>
        </w:rPr>
        <w:t xml:space="preserve"> a comprovação da desistência de eventuais recursos pendentes do credor visando a retificação do precatório que impliquem em aumentar o valor do crédito;</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lastRenderedPageBreak/>
        <w:t>IV –</w:t>
      </w:r>
      <w:r w:rsidRPr="00623CF4">
        <w:rPr>
          <w:rFonts w:ascii="Microsoft Tai Le" w:hAnsi="Microsoft Tai Le" w:cs="Microsoft Tai Le"/>
          <w:sz w:val="24"/>
        </w:rPr>
        <w:t xml:space="preserve"> que o interessado tem ciência de que o pagamento será processado exclusivamente pelo Tribunal de Justiça, a quem incumbirá a atualização do crédito e aplicação do deságio concedido pelo titular do precatório;</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V –</w:t>
      </w:r>
      <w:r w:rsidRPr="00623CF4">
        <w:rPr>
          <w:rFonts w:ascii="Microsoft Tai Le" w:hAnsi="Microsoft Tai Le" w:cs="Microsoft Tai Le"/>
          <w:sz w:val="24"/>
        </w:rPr>
        <w:t xml:space="preserve"> a concordância do credor com a retenção do Imposto de Renda pelo Juízo de Execução, se devido, quando do levantamento do valor. </w:t>
      </w:r>
    </w:p>
    <w:p w:rsidR="00435542" w:rsidRDefault="00435542" w:rsidP="00435542">
      <w:pPr>
        <w:jc w:val="both"/>
        <w:rPr>
          <w:rFonts w:ascii="Microsoft Tai Le" w:hAnsi="Microsoft Tai Le" w:cs="Microsoft Tai Le"/>
          <w:sz w:val="24"/>
        </w:rPr>
      </w:pPr>
      <w:r w:rsidRPr="00623CF4">
        <w:rPr>
          <w:rFonts w:ascii="Microsoft Tai Le" w:hAnsi="Microsoft Tai Le" w:cs="Microsoft Tai Le"/>
          <w:sz w:val="24"/>
        </w:rPr>
        <w:t>Serão destinados ao pagamento das propostas contempladas os valores disponíveis na segunda conta administrada pelo Tribunal de Justiça, reservada ao pagamento de precatórios por meio de ACORDOS DIRETO, nos termos da Lei 4.118 e Decreto 3.654.</w:t>
      </w:r>
    </w:p>
    <w:p w:rsidR="00435542" w:rsidRPr="00623CF4" w:rsidRDefault="00435542" w:rsidP="00435542">
      <w:pPr>
        <w:jc w:val="both"/>
        <w:rPr>
          <w:rFonts w:ascii="Microsoft Tai Le" w:hAnsi="Microsoft Tai Le" w:cs="Microsoft Tai Le"/>
          <w:sz w:val="24"/>
        </w:rPr>
      </w:pPr>
    </w:p>
    <w:p w:rsidR="00435542" w:rsidRPr="00623CF4" w:rsidRDefault="00435542" w:rsidP="00435542">
      <w:pPr>
        <w:jc w:val="both"/>
        <w:rPr>
          <w:rFonts w:ascii="Microsoft Tai Le" w:hAnsi="Microsoft Tai Le" w:cs="Microsoft Tai Le"/>
          <w:b/>
          <w:sz w:val="24"/>
        </w:rPr>
      </w:pPr>
      <w:r w:rsidRPr="00623CF4">
        <w:rPr>
          <w:rFonts w:ascii="Microsoft Tai Le" w:hAnsi="Microsoft Tai Le" w:cs="Microsoft Tai Le"/>
          <w:b/>
          <w:sz w:val="24"/>
        </w:rPr>
        <w:t>5 – DO CRITÉRIO DE ANÁLISE E CLASSIFICAÇÃO DAS PROPOSTAS</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5.1</w:t>
      </w:r>
      <w:r w:rsidRPr="00623CF4">
        <w:rPr>
          <w:rFonts w:ascii="Microsoft Tai Le" w:hAnsi="Microsoft Tai Le" w:cs="Microsoft Tai Le"/>
          <w:sz w:val="24"/>
        </w:rPr>
        <w:t xml:space="preserve"> – Ao fim de cada mês, ser formado o lote de propostas a serem analisadas pela Câmara e Conciliação de Precatórios do Município de Taquari, que habilitará e classificará os pedidos conforme os critérios abaixo indicados, em lista que será divulgada no Portal de Prefeitura Municipal de Taquari na internet.</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5.2</w:t>
      </w:r>
      <w:r w:rsidRPr="00623CF4">
        <w:rPr>
          <w:rFonts w:ascii="Microsoft Tai Le" w:hAnsi="Microsoft Tai Le" w:cs="Microsoft Tai Le"/>
          <w:sz w:val="24"/>
        </w:rPr>
        <w:t xml:space="preserve"> – A classificação das propostas será feita de acordo com os seguintes critérios:</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I –</w:t>
      </w:r>
      <w:r w:rsidRPr="00623CF4">
        <w:rPr>
          <w:rFonts w:ascii="Microsoft Tai Le" w:hAnsi="Microsoft Tai Le" w:cs="Microsoft Tai Le"/>
          <w:sz w:val="24"/>
        </w:rPr>
        <w:t xml:space="preserve"> portadores de doenças graves e maiores de 60 (sessenta) anos titulares de precatórios alimentares, ordenados segundo a ordem cronológica do precatório. A condição de propriedade se refere ao credor originário vivo, ou falecido, aos seus sucessores;</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II –</w:t>
      </w:r>
      <w:r w:rsidRPr="00623CF4">
        <w:rPr>
          <w:rFonts w:ascii="Microsoft Tai Le" w:hAnsi="Microsoft Tai Le" w:cs="Microsoft Tai Le"/>
          <w:sz w:val="24"/>
        </w:rPr>
        <w:t xml:space="preserve"> ordem cronológica dos precatórios, de acordo com seus exercícios, sendo conferida propriedade a todos os precatórios alimentares no interior de cada exercício.</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5.3 –</w:t>
      </w:r>
      <w:r w:rsidRPr="00623CF4">
        <w:rPr>
          <w:rFonts w:ascii="Microsoft Tai Le" w:hAnsi="Microsoft Tai Le" w:cs="Microsoft Tai Le"/>
          <w:sz w:val="24"/>
        </w:rPr>
        <w:t xml:space="preserve"> Considera-se portador de doença grave aquele que tenha sua condição reconhecida pelo órgão de execução do Tribunal de Justiça competente.</w:t>
      </w:r>
    </w:p>
    <w:p w:rsidR="00435542" w:rsidRDefault="00435542" w:rsidP="00435542">
      <w:pPr>
        <w:jc w:val="both"/>
        <w:rPr>
          <w:rFonts w:ascii="Microsoft Tai Le" w:hAnsi="Microsoft Tai Le" w:cs="Microsoft Tai Le"/>
          <w:sz w:val="24"/>
        </w:rPr>
      </w:pPr>
      <w:r w:rsidRPr="00623CF4">
        <w:rPr>
          <w:rFonts w:ascii="Microsoft Tai Le" w:hAnsi="Microsoft Tai Le" w:cs="Microsoft Tai Le"/>
          <w:sz w:val="24"/>
        </w:rPr>
        <w:t>Considera-se maior de 60 (sessenta) anos aquele que tenha completado essa idade até a data de protocolo do requerimento do pedido de acordo.</w:t>
      </w:r>
    </w:p>
    <w:p w:rsidR="00435542" w:rsidRPr="00623CF4" w:rsidRDefault="00435542" w:rsidP="00435542">
      <w:pPr>
        <w:jc w:val="both"/>
        <w:rPr>
          <w:rFonts w:ascii="Microsoft Tai Le" w:hAnsi="Microsoft Tai Le" w:cs="Microsoft Tai Le"/>
          <w:sz w:val="24"/>
        </w:rPr>
      </w:pPr>
    </w:p>
    <w:p w:rsidR="00435542" w:rsidRPr="00623CF4" w:rsidRDefault="00435542" w:rsidP="00435542">
      <w:pPr>
        <w:jc w:val="both"/>
        <w:rPr>
          <w:rFonts w:ascii="Microsoft Tai Le" w:hAnsi="Microsoft Tai Le" w:cs="Microsoft Tai Le"/>
          <w:b/>
          <w:sz w:val="24"/>
        </w:rPr>
      </w:pPr>
      <w:r w:rsidRPr="00623CF4">
        <w:rPr>
          <w:rFonts w:ascii="Microsoft Tai Le" w:hAnsi="Microsoft Tai Le" w:cs="Microsoft Tai Le"/>
          <w:b/>
          <w:sz w:val="24"/>
        </w:rPr>
        <w:t>6 – DAS PROPOSTAS CONTEMPLADAS</w:t>
      </w:r>
    </w:p>
    <w:p w:rsidR="00435542" w:rsidRDefault="00435542" w:rsidP="00435542">
      <w:pPr>
        <w:jc w:val="both"/>
        <w:rPr>
          <w:rFonts w:ascii="Microsoft Tai Le" w:hAnsi="Microsoft Tai Le" w:cs="Microsoft Tai Le"/>
          <w:sz w:val="24"/>
        </w:rPr>
      </w:pPr>
      <w:r w:rsidRPr="00623CF4">
        <w:rPr>
          <w:rFonts w:ascii="Microsoft Tai Le" w:hAnsi="Microsoft Tai Le" w:cs="Microsoft Tai Le"/>
          <w:sz w:val="24"/>
        </w:rPr>
        <w:lastRenderedPageBreak/>
        <w:t>Serão contempladas todas as propostas que possam ser pagas até o limite dos depósitos realizados na segunda conta administrada pelo Tribunal de Justiça, destinada ao pagamento de precatórios por meio de acordo.</w:t>
      </w:r>
    </w:p>
    <w:p w:rsidR="00435542" w:rsidRDefault="00435542" w:rsidP="00435542">
      <w:pPr>
        <w:jc w:val="both"/>
        <w:rPr>
          <w:rFonts w:ascii="Microsoft Tai Le" w:hAnsi="Microsoft Tai Le" w:cs="Microsoft Tai Le"/>
          <w:sz w:val="24"/>
        </w:rPr>
      </w:pPr>
    </w:p>
    <w:p w:rsidR="00435542" w:rsidRDefault="00435542" w:rsidP="00435542">
      <w:pPr>
        <w:jc w:val="both"/>
        <w:rPr>
          <w:rFonts w:ascii="Microsoft Tai Le" w:hAnsi="Microsoft Tai Le" w:cs="Microsoft Tai Le"/>
          <w:sz w:val="24"/>
        </w:rPr>
      </w:pPr>
    </w:p>
    <w:p w:rsidR="00435542" w:rsidRPr="00623CF4" w:rsidRDefault="00435542" w:rsidP="00435542">
      <w:pPr>
        <w:jc w:val="both"/>
        <w:rPr>
          <w:rFonts w:ascii="Microsoft Tai Le" w:hAnsi="Microsoft Tai Le" w:cs="Microsoft Tai Le"/>
          <w:sz w:val="24"/>
        </w:rPr>
      </w:pPr>
    </w:p>
    <w:p w:rsidR="00435542" w:rsidRPr="00623CF4" w:rsidRDefault="00435542" w:rsidP="00435542">
      <w:pPr>
        <w:jc w:val="both"/>
        <w:rPr>
          <w:rFonts w:ascii="Microsoft Tai Le" w:hAnsi="Microsoft Tai Le" w:cs="Microsoft Tai Le"/>
          <w:b/>
          <w:sz w:val="24"/>
        </w:rPr>
      </w:pPr>
      <w:r w:rsidRPr="00623CF4">
        <w:rPr>
          <w:rFonts w:ascii="Microsoft Tai Le" w:hAnsi="Microsoft Tai Le" w:cs="Microsoft Tai Le"/>
          <w:b/>
          <w:sz w:val="24"/>
        </w:rPr>
        <w:t>7 – DA EFETIVAÇÃO E DO PROCESSAMENTO DOS PAGAMENTOS</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7.1 –</w:t>
      </w:r>
      <w:r w:rsidRPr="00623CF4">
        <w:rPr>
          <w:rFonts w:ascii="Microsoft Tai Le" w:hAnsi="Microsoft Tai Le" w:cs="Microsoft Tai Le"/>
          <w:sz w:val="24"/>
        </w:rPr>
        <w:t xml:space="preserve"> O efetivo pagamento será realizado pelo Tribunal de Justiça competente, conforme disponibilidade financeira a quem caberá a atualização do valor devido e aplicação do deságio concedido. </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7.2 –</w:t>
      </w:r>
      <w:r w:rsidRPr="00623CF4">
        <w:rPr>
          <w:rFonts w:ascii="Microsoft Tai Le" w:hAnsi="Microsoft Tai Le" w:cs="Microsoft Tai Le"/>
          <w:sz w:val="24"/>
        </w:rPr>
        <w:t xml:space="preserve"> O procedimento para pagamento dos acordos será estabelecido pelo Tribunal de Justiça competente, cabendo ao Município de Taquari à indicação das retenções obrigatórias (imposto de renda e contribuições previdenciárias).</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7.3 –</w:t>
      </w:r>
      <w:r w:rsidRPr="00623CF4">
        <w:rPr>
          <w:rFonts w:ascii="Microsoft Tai Le" w:hAnsi="Microsoft Tai Le" w:cs="Microsoft Tai Le"/>
          <w:sz w:val="24"/>
        </w:rPr>
        <w:t xml:space="preserve"> O pagamento do acordo implicará plena quitação pelo credor.</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7.4 –</w:t>
      </w:r>
      <w:r w:rsidRPr="00623CF4">
        <w:rPr>
          <w:rFonts w:ascii="Microsoft Tai Le" w:hAnsi="Microsoft Tai Le" w:cs="Microsoft Tai Le"/>
          <w:sz w:val="24"/>
        </w:rPr>
        <w:t xml:space="preserve"> O credor não poderá desistir da proposta de acordo após a publicação da lista de acordos deferidos e envio ao Tribunal de Justiça competente para o pagamento.</w:t>
      </w:r>
    </w:p>
    <w:p w:rsidR="00435542" w:rsidRPr="00623CF4" w:rsidRDefault="00435542" w:rsidP="00435542">
      <w:pPr>
        <w:jc w:val="both"/>
        <w:rPr>
          <w:rFonts w:ascii="Microsoft Tai Le" w:hAnsi="Microsoft Tai Le" w:cs="Microsoft Tai Le"/>
          <w:sz w:val="24"/>
        </w:rPr>
      </w:pPr>
      <w:r w:rsidRPr="00623CF4">
        <w:rPr>
          <w:rFonts w:ascii="Microsoft Tai Le" w:hAnsi="Microsoft Tai Le" w:cs="Microsoft Tai Le"/>
          <w:b/>
          <w:sz w:val="24"/>
        </w:rPr>
        <w:t>7.5 –</w:t>
      </w:r>
      <w:r w:rsidRPr="00623CF4">
        <w:rPr>
          <w:rFonts w:ascii="Microsoft Tai Le" w:hAnsi="Microsoft Tai Le" w:cs="Microsoft Tai Le"/>
          <w:sz w:val="24"/>
        </w:rPr>
        <w:t xml:space="preserve"> Após o envio dos acordos ao Tribunal competente para homologação cessam as atribuições do Município com relação aos pagamentos dos acordos.</w:t>
      </w:r>
    </w:p>
    <w:p w:rsidR="00435542" w:rsidRDefault="00435542" w:rsidP="00435542">
      <w:pPr>
        <w:jc w:val="both"/>
        <w:rPr>
          <w:rFonts w:ascii="Microsoft Tai Le" w:hAnsi="Microsoft Tai Le" w:cs="Microsoft Tai Le"/>
          <w:sz w:val="24"/>
        </w:rPr>
      </w:pPr>
    </w:p>
    <w:p w:rsidR="00435542" w:rsidRDefault="00435542" w:rsidP="00435542">
      <w:pPr>
        <w:jc w:val="both"/>
        <w:rPr>
          <w:rFonts w:ascii="Microsoft Tai Le" w:hAnsi="Microsoft Tai Le" w:cs="Microsoft Tai Le"/>
          <w:sz w:val="24"/>
        </w:rPr>
      </w:pPr>
      <w:r>
        <w:rPr>
          <w:rFonts w:ascii="Microsoft Tai Le" w:hAnsi="Microsoft Tai Le" w:cs="Microsoft Tai Le"/>
          <w:sz w:val="24"/>
        </w:rPr>
        <w:t>Taquari (RS), 08 de julho de 2019.</w:t>
      </w:r>
    </w:p>
    <w:p w:rsidR="00435542" w:rsidRDefault="00435542" w:rsidP="00435542">
      <w:pPr>
        <w:jc w:val="center"/>
        <w:rPr>
          <w:rFonts w:ascii="Microsoft Tai Le" w:hAnsi="Microsoft Tai Le" w:cs="Microsoft Tai Le"/>
          <w:sz w:val="24"/>
        </w:rPr>
      </w:pPr>
    </w:p>
    <w:p w:rsidR="00435542" w:rsidRDefault="00435542" w:rsidP="00435542">
      <w:pPr>
        <w:jc w:val="center"/>
        <w:rPr>
          <w:rFonts w:ascii="Microsoft Tai Le" w:hAnsi="Microsoft Tai Le" w:cs="Microsoft Tai Le"/>
          <w:sz w:val="24"/>
        </w:rPr>
      </w:pPr>
      <w:r>
        <w:rPr>
          <w:rFonts w:ascii="Microsoft Tai Le" w:hAnsi="Microsoft Tai Le" w:cs="Microsoft Tai Le"/>
          <w:sz w:val="24"/>
        </w:rPr>
        <w:t>Adair Alberto Oliveira de Souza</w:t>
      </w:r>
    </w:p>
    <w:p w:rsidR="00435542" w:rsidRPr="00623CF4" w:rsidRDefault="00435542" w:rsidP="00435542">
      <w:pPr>
        <w:jc w:val="center"/>
        <w:rPr>
          <w:rFonts w:ascii="Microsoft Tai Le" w:hAnsi="Microsoft Tai Le" w:cs="Microsoft Tai Le"/>
          <w:sz w:val="24"/>
        </w:rPr>
      </w:pPr>
      <w:r>
        <w:rPr>
          <w:rFonts w:ascii="Microsoft Tai Le" w:hAnsi="Microsoft Tai Le" w:cs="Microsoft Tai Le"/>
          <w:sz w:val="24"/>
        </w:rPr>
        <w:t>Secretário da Fazenda</w:t>
      </w:r>
    </w:p>
    <w:p w:rsidR="00435542" w:rsidRPr="001004CF" w:rsidRDefault="00435542" w:rsidP="00435542">
      <w:pPr>
        <w:pStyle w:val="PargrafodaLista"/>
        <w:jc w:val="both"/>
        <w:rPr>
          <w:rFonts w:ascii="Microsoft Tai Le" w:hAnsi="Microsoft Tai Le" w:cs="Microsoft Tai Le"/>
          <w:sz w:val="24"/>
        </w:rPr>
      </w:pPr>
    </w:p>
    <w:p w:rsidR="004C0A3E" w:rsidRPr="00435542" w:rsidRDefault="004C0A3E" w:rsidP="00435542"/>
    <w:sectPr w:rsidR="004C0A3E" w:rsidRPr="00435542" w:rsidSect="00F47810">
      <w:headerReference w:type="default" r:id="rId7"/>
      <w:footerReference w:type="default" r:id="rId8"/>
      <w:pgSz w:w="11906" w:h="16838"/>
      <w:pgMar w:top="1843"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0CE" w:rsidRDefault="003C20CE" w:rsidP="00605512">
      <w:pPr>
        <w:spacing w:after="0" w:line="240" w:lineRule="auto"/>
      </w:pPr>
      <w:r>
        <w:separator/>
      </w:r>
    </w:p>
  </w:endnote>
  <w:endnote w:type="continuationSeparator" w:id="1">
    <w:p w:rsidR="003C20CE" w:rsidRDefault="003C20CE" w:rsidP="00605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B2" w:rsidRPr="003F2C15" w:rsidRDefault="00580CB2" w:rsidP="003C7C15">
    <w:pPr>
      <w:spacing w:after="0" w:line="240" w:lineRule="auto"/>
      <w:jc w:val="center"/>
      <w:rPr>
        <w:rFonts w:ascii="Arial" w:hAnsi="Arial" w:cs="Arial"/>
        <w:sz w:val="16"/>
        <w:szCs w:val="16"/>
      </w:rPr>
    </w:pPr>
    <w:bookmarkStart w:id="0" w:name="_GoBack"/>
    <w:r w:rsidRPr="003F2C15">
      <w:rPr>
        <w:rFonts w:ascii="Arial" w:hAnsi="Arial" w:cs="Arial"/>
        <w:sz w:val="16"/>
        <w:szCs w:val="16"/>
      </w:rPr>
      <w:t>Centro Adm. Celso Luiz Martins - Rua Osvaldo Aranha, nº 1790</w:t>
    </w:r>
  </w:p>
  <w:p w:rsidR="00580CB2" w:rsidRPr="003F2C15" w:rsidRDefault="00580CB2" w:rsidP="003C7C15">
    <w:pPr>
      <w:spacing w:after="0" w:line="240" w:lineRule="auto"/>
      <w:jc w:val="center"/>
      <w:rPr>
        <w:rFonts w:ascii="Arial" w:hAnsi="Arial" w:cs="Arial"/>
        <w:sz w:val="16"/>
        <w:szCs w:val="16"/>
      </w:rPr>
    </w:pPr>
    <w:r w:rsidRPr="003F2C15">
      <w:rPr>
        <w:rFonts w:ascii="Arial" w:hAnsi="Arial" w:cs="Arial"/>
        <w:sz w:val="16"/>
        <w:szCs w:val="16"/>
      </w:rPr>
      <w:t>Bairro Centro – Taquari – RS – CEP: 95.860-000</w:t>
    </w:r>
  </w:p>
  <w:p w:rsidR="00580CB2" w:rsidRPr="003F2C15" w:rsidRDefault="00580CB2" w:rsidP="003C7C15">
    <w:pPr>
      <w:spacing w:after="0" w:line="240" w:lineRule="auto"/>
      <w:jc w:val="center"/>
      <w:rPr>
        <w:rFonts w:ascii="Arial" w:hAnsi="Arial" w:cs="Arial"/>
        <w:sz w:val="16"/>
        <w:szCs w:val="16"/>
      </w:rPr>
    </w:pPr>
    <w:r w:rsidRPr="003F2C15">
      <w:rPr>
        <w:rFonts w:ascii="Arial" w:hAnsi="Arial" w:cs="Arial"/>
        <w:sz w:val="16"/>
        <w:szCs w:val="16"/>
      </w:rPr>
      <w:t>CNPJ: 88.067.780/0001-38 – Fone (51) 3653-6200</w:t>
    </w:r>
  </w:p>
  <w:p w:rsidR="00580CB2" w:rsidRPr="003F2C15" w:rsidRDefault="00580CB2" w:rsidP="003C7C15">
    <w:pPr>
      <w:spacing w:after="0" w:line="240" w:lineRule="auto"/>
      <w:jc w:val="center"/>
      <w:rPr>
        <w:rFonts w:ascii="Arial" w:hAnsi="Arial" w:cs="Arial"/>
        <w:sz w:val="16"/>
        <w:szCs w:val="16"/>
      </w:rPr>
    </w:pPr>
    <w:r w:rsidRPr="003F2C15">
      <w:rPr>
        <w:rFonts w:ascii="Arial" w:hAnsi="Arial" w:cs="Arial"/>
        <w:sz w:val="16"/>
        <w:szCs w:val="16"/>
      </w:rPr>
      <w:t>E-mail: gabinete@taquari.rs.gov.br</w: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0CE" w:rsidRDefault="003C20CE" w:rsidP="00605512">
      <w:pPr>
        <w:spacing w:after="0" w:line="240" w:lineRule="auto"/>
      </w:pPr>
      <w:r>
        <w:separator/>
      </w:r>
    </w:p>
  </w:footnote>
  <w:footnote w:type="continuationSeparator" w:id="1">
    <w:p w:rsidR="003C20CE" w:rsidRDefault="003C20CE" w:rsidP="00605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B2" w:rsidRDefault="00580CB2">
    <w:pPr>
      <w:pStyle w:val="Cabealho"/>
    </w:pPr>
    <w:r>
      <w:rPr>
        <w:noProof/>
        <w:lang w:eastAsia="pt-BR"/>
      </w:rPr>
      <w:pict>
        <v:shapetype id="_x0000_t202" coordsize="21600,21600" o:spt="202" path="m,l,21600r21600,l21600,xe">
          <v:stroke joinstyle="miter"/>
          <v:path gradientshapeok="t" o:connecttype="rect"/>
        </v:shapetype>
        <v:shape id="_x0000_s2049" type="#_x0000_t202" style="position:absolute;margin-left:38.5pt;margin-top:9.45pt;width:333.6pt;height:74.25pt;z-index:251656704" filled="f" stroked="f">
          <v:textbox style="mso-next-textbox:#_x0000_s2049">
            <w:txbxContent>
              <w:p w:rsidR="00580CB2" w:rsidRPr="00DF43E8" w:rsidRDefault="00580CB2" w:rsidP="003C7C15">
                <w:pPr>
                  <w:spacing w:after="0" w:line="240" w:lineRule="auto"/>
                  <w:jc w:val="center"/>
                  <w:rPr>
                    <w:rFonts w:cs="Arial"/>
                    <w:b/>
                    <w:i/>
                    <w:sz w:val="44"/>
                  </w:rPr>
                </w:pPr>
                <w:r w:rsidRPr="00DF43E8">
                  <w:rPr>
                    <w:rFonts w:cs="Arial"/>
                    <w:b/>
                    <w:i/>
                    <w:sz w:val="44"/>
                  </w:rPr>
                  <w:t>Município de Taquari</w:t>
                </w:r>
              </w:p>
              <w:p w:rsidR="00580CB2" w:rsidRPr="00DF43E8" w:rsidRDefault="00580CB2" w:rsidP="003C7C15">
                <w:pPr>
                  <w:spacing w:after="0" w:line="240" w:lineRule="auto"/>
                  <w:jc w:val="center"/>
                  <w:rPr>
                    <w:rFonts w:cs="Arial"/>
                    <w:b/>
                    <w:i/>
                    <w:sz w:val="44"/>
                  </w:rPr>
                </w:pPr>
                <w:r w:rsidRPr="00DF43E8">
                  <w:rPr>
                    <w:rFonts w:cs="Arial"/>
                    <w:b/>
                    <w:i/>
                  </w:rPr>
                  <w:t>Estado do Rio Grande do Sul</w:t>
                </w:r>
              </w:p>
            </w:txbxContent>
          </v:textbox>
        </v:shape>
      </w:pict>
    </w:r>
    <w:r w:rsidR="00435542">
      <w:rPr>
        <w:noProof/>
        <w:lang w:val="pt-BR" w:eastAsia="pt-BR"/>
      </w:rPr>
      <w:drawing>
        <wp:inline distT="0" distB="0" distL="0" distR="0">
          <wp:extent cx="666750" cy="790575"/>
          <wp:effectExtent l="19050" t="0" r="0" b="0"/>
          <wp:docPr id="1" name="Imagem 1" descr="C:\Users\machado\Desktop\logos\Brasão Prefeitura Taquari\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chado\Desktop\logos\Brasão Prefeitura Taquari\brasao.jpg"/>
                  <pic:cNvPicPr>
                    <a:picLocks noChangeAspect="1" noChangeArrowheads="1"/>
                  </pic:cNvPicPr>
                </pic:nvPicPr>
                <pic:blipFill>
                  <a:blip r:embed="rId1"/>
                  <a:srcRect/>
                  <a:stretch>
                    <a:fillRect/>
                  </a:stretch>
                </pic:blipFill>
                <pic:spPr bwMode="auto">
                  <a:xfrm>
                    <a:off x="0" y="0"/>
                    <a:ext cx="666750" cy="790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64F64"/>
    <w:rsid w:val="000005C8"/>
    <w:rsid w:val="000015DF"/>
    <w:rsid w:val="000137FC"/>
    <w:rsid w:val="000232AE"/>
    <w:rsid w:val="00033367"/>
    <w:rsid w:val="00035711"/>
    <w:rsid w:val="00036144"/>
    <w:rsid w:val="00065AEE"/>
    <w:rsid w:val="00070CB0"/>
    <w:rsid w:val="000954AD"/>
    <w:rsid w:val="000A018F"/>
    <w:rsid w:val="000A3088"/>
    <w:rsid w:val="000B6C0B"/>
    <w:rsid w:val="000C3655"/>
    <w:rsid w:val="000E0F04"/>
    <w:rsid w:val="000E366C"/>
    <w:rsid w:val="000F296D"/>
    <w:rsid w:val="00100BEC"/>
    <w:rsid w:val="001015F0"/>
    <w:rsid w:val="00103FFF"/>
    <w:rsid w:val="001060A0"/>
    <w:rsid w:val="00112A78"/>
    <w:rsid w:val="001361C2"/>
    <w:rsid w:val="00140B21"/>
    <w:rsid w:val="0014445C"/>
    <w:rsid w:val="00151A6E"/>
    <w:rsid w:val="00153937"/>
    <w:rsid w:val="00154BDB"/>
    <w:rsid w:val="0016375A"/>
    <w:rsid w:val="00170632"/>
    <w:rsid w:val="00171974"/>
    <w:rsid w:val="0017391F"/>
    <w:rsid w:val="00181959"/>
    <w:rsid w:val="00191753"/>
    <w:rsid w:val="00193E15"/>
    <w:rsid w:val="00197847"/>
    <w:rsid w:val="001B2D78"/>
    <w:rsid w:val="001E1146"/>
    <w:rsid w:val="001E2BDD"/>
    <w:rsid w:val="001E4B9B"/>
    <w:rsid w:val="00206E06"/>
    <w:rsid w:val="0021559D"/>
    <w:rsid w:val="00216BB5"/>
    <w:rsid w:val="00225AD0"/>
    <w:rsid w:val="00227459"/>
    <w:rsid w:val="00251C6C"/>
    <w:rsid w:val="002634BB"/>
    <w:rsid w:val="0027367F"/>
    <w:rsid w:val="002823CA"/>
    <w:rsid w:val="00285B4F"/>
    <w:rsid w:val="00286907"/>
    <w:rsid w:val="00286983"/>
    <w:rsid w:val="00291603"/>
    <w:rsid w:val="002A1052"/>
    <w:rsid w:val="002A2957"/>
    <w:rsid w:val="002A2DAB"/>
    <w:rsid w:val="002B646E"/>
    <w:rsid w:val="002B76BB"/>
    <w:rsid w:val="002C7069"/>
    <w:rsid w:val="002D0A0A"/>
    <w:rsid w:val="002D154A"/>
    <w:rsid w:val="002D29B5"/>
    <w:rsid w:val="002E0474"/>
    <w:rsid w:val="002E0D02"/>
    <w:rsid w:val="002E2A40"/>
    <w:rsid w:val="002F5583"/>
    <w:rsid w:val="002F746A"/>
    <w:rsid w:val="00313829"/>
    <w:rsid w:val="00320BDD"/>
    <w:rsid w:val="003453BF"/>
    <w:rsid w:val="003532E1"/>
    <w:rsid w:val="00354288"/>
    <w:rsid w:val="003B136B"/>
    <w:rsid w:val="003B6492"/>
    <w:rsid w:val="003C20CE"/>
    <w:rsid w:val="003C5023"/>
    <w:rsid w:val="003C7C15"/>
    <w:rsid w:val="003D60D7"/>
    <w:rsid w:val="003E68AA"/>
    <w:rsid w:val="003F31A5"/>
    <w:rsid w:val="004079B3"/>
    <w:rsid w:val="00410410"/>
    <w:rsid w:val="004118DB"/>
    <w:rsid w:val="0042324D"/>
    <w:rsid w:val="00435542"/>
    <w:rsid w:val="00477214"/>
    <w:rsid w:val="00484BFA"/>
    <w:rsid w:val="0049405A"/>
    <w:rsid w:val="004954A5"/>
    <w:rsid w:val="004A2CC8"/>
    <w:rsid w:val="004A3918"/>
    <w:rsid w:val="004B0846"/>
    <w:rsid w:val="004C0A3E"/>
    <w:rsid w:val="004C4A13"/>
    <w:rsid w:val="00525DC1"/>
    <w:rsid w:val="00530164"/>
    <w:rsid w:val="00553EF3"/>
    <w:rsid w:val="005613DE"/>
    <w:rsid w:val="00580CB2"/>
    <w:rsid w:val="005A1D1E"/>
    <w:rsid w:val="005A3751"/>
    <w:rsid w:val="005A4E28"/>
    <w:rsid w:val="005B1CFD"/>
    <w:rsid w:val="005D6190"/>
    <w:rsid w:val="005E102C"/>
    <w:rsid w:val="005F7323"/>
    <w:rsid w:val="00605512"/>
    <w:rsid w:val="006118A5"/>
    <w:rsid w:val="00616A5A"/>
    <w:rsid w:val="0065391C"/>
    <w:rsid w:val="00670DE8"/>
    <w:rsid w:val="006C5A84"/>
    <w:rsid w:val="006C5C22"/>
    <w:rsid w:val="006E7F0B"/>
    <w:rsid w:val="006F1B0F"/>
    <w:rsid w:val="006F493F"/>
    <w:rsid w:val="007071AB"/>
    <w:rsid w:val="00711212"/>
    <w:rsid w:val="00721142"/>
    <w:rsid w:val="00726FFF"/>
    <w:rsid w:val="0073771D"/>
    <w:rsid w:val="00742016"/>
    <w:rsid w:val="00760931"/>
    <w:rsid w:val="00762A19"/>
    <w:rsid w:val="0077111B"/>
    <w:rsid w:val="007B5642"/>
    <w:rsid w:val="007D095F"/>
    <w:rsid w:val="007D0EEA"/>
    <w:rsid w:val="007D324D"/>
    <w:rsid w:val="007D7009"/>
    <w:rsid w:val="007E3DAC"/>
    <w:rsid w:val="007F151C"/>
    <w:rsid w:val="007F3B6C"/>
    <w:rsid w:val="0080349A"/>
    <w:rsid w:val="00834D13"/>
    <w:rsid w:val="00842A09"/>
    <w:rsid w:val="008555A8"/>
    <w:rsid w:val="00857B5A"/>
    <w:rsid w:val="00862ABC"/>
    <w:rsid w:val="00863EE9"/>
    <w:rsid w:val="00864437"/>
    <w:rsid w:val="00864F64"/>
    <w:rsid w:val="00880729"/>
    <w:rsid w:val="00881060"/>
    <w:rsid w:val="00881F08"/>
    <w:rsid w:val="0088732E"/>
    <w:rsid w:val="008A3DEF"/>
    <w:rsid w:val="008A4970"/>
    <w:rsid w:val="008B28D3"/>
    <w:rsid w:val="008E1B67"/>
    <w:rsid w:val="008F4B98"/>
    <w:rsid w:val="00907552"/>
    <w:rsid w:val="00916B79"/>
    <w:rsid w:val="009236C1"/>
    <w:rsid w:val="00925579"/>
    <w:rsid w:val="009423EC"/>
    <w:rsid w:val="00965A2E"/>
    <w:rsid w:val="00977440"/>
    <w:rsid w:val="00982F4B"/>
    <w:rsid w:val="00990C06"/>
    <w:rsid w:val="00991954"/>
    <w:rsid w:val="009A1EAB"/>
    <w:rsid w:val="00A0517F"/>
    <w:rsid w:val="00A064DF"/>
    <w:rsid w:val="00A23B63"/>
    <w:rsid w:val="00A24353"/>
    <w:rsid w:val="00A27F9A"/>
    <w:rsid w:val="00A32065"/>
    <w:rsid w:val="00A66578"/>
    <w:rsid w:val="00A67C75"/>
    <w:rsid w:val="00A7681E"/>
    <w:rsid w:val="00AA55E7"/>
    <w:rsid w:val="00AC2FAE"/>
    <w:rsid w:val="00AE464B"/>
    <w:rsid w:val="00B04B6C"/>
    <w:rsid w:val="00B122B3"/>
    <w:rsid w:val="00B20D2F"/>
    <w:rsid w:val="00B33164"/>
    <w:rsid w:val="00B34AB4"/>
    <w:rsid w:val="00B6564A"/>
    <w:rsid w:val="00B67959"/>
    <w:rsid w:val="00B77866"/>
    <w:rsid w:val="00BB690C"/>
    <w:rsid w:val="00C1275B"/>
    <w:rsid w:val="00C20A81"/>
    <w:rsid w:val="00C53BFC"/>
    <w:rsid w:val="00C562F3"/>
    <w:rsid w:val="00C61311"/>
    <w:rsid w:val="00C71283"/>
    <w:rsid w:val="00C74487"/>
    <w:rsid w:val="00C7744D"/>
    <w:rsid w:val="00C80F31"/>
    <w:rsid w:val="00C9150D"/>
    <w:rsid w:val="00CA7C30"/>
    <w:rsid w:val="00CB6BC8"/>
    <w:rsid w:val="00CB79C8"/>
    <w:rsid w:val="00CD23C3"/>
    <w:rsid w:val="00CF6633"/>
    <w:rsid w:val="00D26F90"/>
    <w:rsid w:val="00D27705"/>
    <w:rsid w:val="00D3319F"/>
    <w:rsid w:val="00D43AC9"/>
    <w:rsid w:val="00D60690"/>
    <w:rsid w:val="00D60BE3"/>
    <w:rsid w:val="00D62892"/>
    <w:rsid w:val="00D7049E"/>
    <w:rsid w:val="00D72301"/>
    <w:rsid w:val="00DB4DBE"/>
    <w:rsid w:val="00DC1CF1"/>
    <w:rsid w:val="00DC2D0A"/>
    <w:rsid w:val="00DC7BF0"/>
    <w:rsid w:val="00DE078F"/>
    <w:rsid w:val="00DE3330"/>
    <w:rsid w:val="00DF7185"/>
    <w:rsid w:val="00E02970"/>
    <w:rsid w:val="00E06DDD"/>
    <w:rsid w:val="00E1249A"/>
    <w:rsid w:val="00E238E5"/>
    <w:rsid w:val="00E30B00"/>
    <w:rsid w:val="00E340EC"/>
    <w:rsid w:val="00E378B6"/>
    <w:rsid w:val="00E4060F"/>
    <w:rsid w:val="00E8250A"/>
    <w:rsid w:val="00E929F3"/>
    <w:rsid w:val="00EB0B4F"/>
    <w:rsid w:val="00EB0E1D"/>
    <w:rsid w:val="00EB0EE2"/>
    <w:rsid w:val="00EB6FEF"/>
    <w:rsid w:val="00ED7D0A"/>
    <w:rsid w:val="00EE4028"/>
    <w:rsid w:val="00EE593E"/>
    <w:rsid w:val="00EE75A2"/>
    <w:rsid w:val="00EF6B23"/>
    <w:rsid w:val="00F068D3"/>
    <w:rsid w:val="00F07E3F"/>
    <w:rsid w:val="00F355B4"/>
    <w:rsid w:val="00F408FC"/>
    <w:rsid w:val="00F445F5"/>
    <w:rsid w:val="00F47810"/>
    <w:rsid w:val="00F57887"/>
    <w:rsid w:val="00F6301A"/>
    <w:rsid w:val="00F723B9"/>
    <w:rsid w:val="00FA02EE"/>
    <w:rsid w:val="00FA1678"/>
    <w:rsid w:val="00FB3809"/>
    <w:rsid w:val="00FE3EAD"/>
    <w:rsid w:val="00FF58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64"/>
    <w:pPr>
      <w:spacing w:after="200" w:line="276" w:lineRule="auto"/>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64F64"/>
    <w:pPr>
      <w:tabs>
        <w:tab w:val="center" w:pos="4252"/>
        <w:tab w:val="right" w:pos="8504"/>
      </w:tabs>
      <w:spacing w:after="0" w:line="240" w:lineRule="auto"/>
    </w:pPr>
    <w:rPr>
      <w:sz w:val="20"/>
      <w:szCs w:val="20"/>
      <w:lang/>
    </w:rPr>
  </w:style>
  <w:style w:type="character" w:customStyle="1" w:styleId="CabealhoChar">
    <w:name w:val="Cabeçalho Char"/>
    <w:link w:val="Cabealho"/>
    <w:rsid w:val="00864F64"/>
    <w:rPr>
      <w:rFonts w:ascii="Calibri" w:eastAsia="Calibri" w:hAnsi="Calibri" w:cs="Times New Roman"/>
    </w:rPr>
  </w:style>
  <w:style w:type="paragraph" w:styleId="Rodap">
    <w:name w:val="footer"/>
    <w:basedOn w:val="Normal"/>
    <w:link w:val="RodapChar"/>
    <w:unhideWhenUsed/>
    <w:rsid w:val="00864F64"/>
    <w:pPr>
      <w:tabs>
        <w:tab w:val="center" w:pos="4252"/>
        <w:tab w:val="right" w:pos="8504"/>
      </w:tabs>
      <w:spacing w:after="0" w:line="240" w:lineRule="auto"/>
    </w:pPr>
    <w:rPr>
      <w:sz w:val="20"/>
      <w:szCs w:val="20"/>
      <w:lang/>
    </w:rPr>
  </w:style>
  <w:style w:type="character" w:customStyle="1" w:styleId="RodapChar">
    <w:name w:val="Rodapé Char"/>
    <w:link w:val="Rodap"/>
    <w:rsid w:val="00864F64"/>
    <w:rPr>
      <w:rFonts w:ascii="Calibri" w:eastAsia="Calibri" w:hAnsi="Calibri" w:cs="Times New Roman"/>
    </w:rPr>
  </w:style>
  <w:style w:type="paragraph" w:customStyle="1" w:styleId="Default">
    <w:name w:val="Default"/>
    <w:rsid w:val="00864F64"/>
    <w:pPr>
      <w:autoSpaceDE w:val="0"/>
      <w:autoSpaceDN w:val="0"/>
      <w:adjustRightInd w:val="0"/>
    </w:pPr>
    <w:rPr>
      <w:rFonts w:ascii="Times New Roman" w:hAnsi="Times New Roman"/>
      <w:color w:val="000000"/>
      <w:sz w:val="24"/>
      <w:szCs w:val="24"/>
      <w:lang w:eastAsia="en-US"/>
    </w:rPr>
  </w:style>
  <w:style w:type="paragraph" w:styleId="Textodebalo">
    <w:name w:val="Balloon Text"/>
    <w:basedOn w:val="Normal"/>
    <w:link w:val="TextodebaloChar"/>
    <w:uiPriority w:val="99"/>
    <w:semiHidden/>
    <w:unhideWhenUsed/>
    <w:rsid w:val="00C562F3"/>
    <w:pPr>
      <w:spacing w:after="0" w:line="240" w:lineRule="auto"/>
    </w:pPr>
    <w:rPr>
      <w:rFonts w:ascii="Segoe UI" w:hAnsi="Segoe UI"/>
      <w:sz w:val="18"/>
      <w:szCs w:val="18"/>
      <w:lang/>
    </w:rPr>
  </w:style>
  <w:style w:type="character" w:customStyle="1" w:styleId="TextodebaloChar">
    <w:name w:val="Texto de balão Char"/>
    <w:link w:val="Textodebalo"/>
    <w:uiPriority w:val="99"/>
    <w:semiHidden/>
    <w:rsid w:val="00C562F3"/>
    <w:rPr>
      <w:rFonts w:ascii="Segoe UI" w:hAnsi="Segoe UI" w:cs="Segoe UI"/>
      <w:sz w:val="18"/>
      <w:szCs w:val="18"/>
      <w:lang w:eastAsia="en-US"/>
    </w:rPr>
  </w:style>
  <w:style w:type="paragraph" w:styleId="PargrafodaLista">
    <w:name w:val="List Paragraph"/>
    <w:basedOn w:val="Normal"/>
    <w:uiPriority w:val="34"/>
    <w:qFormat/>
    <w:rsid w:val="0043554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07379916">
      <w:bodyDiv w:val="1"/>
      <w:marLeft w:val="0"/>
      <w:marRight w:val="0"/>
      <w:marTop w:val="0"/>
      <w:marBottom w:val="0"/>
      <w:divBdr>
        <w:top w:val="none" w:sz="0" w:space="0" w:color="auto"/>
        <w:left w:val="none" w:sz="0" w:space="0" w:color="auto"/>
        <w:bottom w:val="none" w:sz="0" w:space="0" w:color="auto"/>
        <w:right w:val="none" w:sz="0" w:space="0" w:color="auto"/>
      </w:divBdr>
    </w:div>
    <w:div w:id="1176725097">
      <w:bodyDiv w:val="1"/>
      <w:marLeft w:val="0"/>
      <w:marRight w:val="0"/>
      <w:marTop w:val="0"/>
      <w:marBottom w:val="0"/>
      <w:divBdr>
        <w:top w:val="none" w:sz="0" w:space="0" w:color="auto"/>
        <w:left w:val="none" w:sz="0" w:space="0" w:color="auto"/>
        <w:bottom w:val="none" w:sz="0" w:space="0" w:color="auto"/>
        <w:right w:val="none" w:sz="0" w:space="0" w:color="auto"/>
      </w:divBdr>
    </w:div>
    <w:div w:id="13577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AFC47-DEA9-421F-9A36-6702E1BB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lribeiro</dc:creator>
  <cp:lastModifiedBy>administrador</cp:lastModifiedBy>
  <cp:revision>2</cp:revision>
  <cp:lastPrinted>2019-01-10T17:11:00Z</cp:lastPrinted>
  <dcterms:created xsi:type="dcterms:W3CDTF">2019-07-10T11:53:00Z</dcterms:created>
  <dcterms:modified xsi:type="dcterms:W3CDTF">2019-07-10T11:53:00Z</dcterms:modified>
</cp:coreProperties>
</file>